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8E" w:rsidRDefault="002B648E"/>
    <w:p w:rsidR="002B648E" w:rsidRPr="002355B7" w:rsidRDefault="00B65EC0" w:rsidP="00290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2023-2024 оқу жылы  </w:t>
      </w:r>
      <w:r w:rsidR="002B648E" w:rsidRPr="002355B7">
        <w:rPr>
          <w:b/>
          <w:sz w:val="28"/>
          <w:szCs w:val="28"/>
        </w:rPr>
        <w:t xml:space="preserve">  мәлімет</w:t>
      </w:r>
    </w:p>
    <w:p w:rsidR="002B648E" w:rsidRPr="002355B7" w:rsidRDefault="002B648E" w:rsidP="002908EB">
      <w:pPr>
        <w:jc w:val="both"/>
        <w:rPr>
          <w:b/>
          <w:sz w:val="28"/>
          <w:szCs w:val="28"/>
        </w:rPr>
      </w:pPr>
    </w:p>
    <w:p w:rsidR="00C3721E" w:rsidRPr="006044FA" w:rsidRDefault="00C3721E" w:rsidP="002908EB">
      <w:pPr>
        <w:jc w:val="both"/>
        <w:rPr>
          <w:sz w:val="28"/>
          <w:szCs w:val="28"/>
        </w:rPr>
      </w:pPr>
      <w:r w:rsidRPr="006044FA">
        <w:rPr>
          <w:sz w:val="28"/>
          <w:szCs w:val="28"/>
        </w:rPr>
        <w:t>Жаңа оқу жылына мектеп ғимаратын дайындау,күрделі және ағымдағы жөндеу жұмыстарын жоспарлау  және жүргізу</w:t>
      </w:r>
      <w:r w:rsidR="006044FA" w:rsidRPr="006044FA">
        <w:rPr>
          <w:sz w:val="28"/>
          <w:szCs w:val="28"/>
        </w:rPr>
        <w:t xml:space="preserve"> жұмыстары жүргізілді.</w:t>
      </w:r>
      <w:r w:rsidRPr="006044FA">
        <w:rPr>
          <w:sz w:val="28"/>
          <w:szCs w:val="28"/>
        </w:rPr>
        <w:t>Санитарлық гигиеналық талаптардың сақталуын қадағалау</w:t>
      </w:r>
      <w:r w:rsidR="006044FA" w:rsidRPr="006044FA">
        <w:rPr>
          <w:sz w:val="28"/>
          <w:szCs w:val="28"/>
        </w:rPr>
        <w:t xml:space="preserve"> ,м</w:t>
      </w:r>
      <w:r w:rsidRPr="006044FA">
        <w:rPr>
          <w:sz w:val="28"/>
          <w:szCs w:val="28"/>
        </w:rPr>
        <w:t>ектептің жаңа оқу жыл</w:t>
      </w:r>
      <w:r w:rsidR="006044FA" w:rsidRPr="006044FA">
        <w:rPr>
          <w:sz w:val="28"/>
          <w:szCs w:val="28"/>
        </w:rPr>
        <w:t>ына дайындығы туралы акт жасалынды.</w:t>
      </w:r>
    </w:p>
    <w:p w:rsidR="00C3721E" w:rsidRDefault="00C3721E" w:rsidP="002908EB">
      <w:pPr>
        <w:jc w:val="both"/>
        <w:rPr>
          <w:sz w:val="28"/>
          <w:szCs w:val="28"/>
        </w:rPr>
      </w:pPr>
      <w:r w:rsidRPr="006044FA">
        <w:rPr>
          <w:sz w:val="28"/>
          <w:szCs w:val="28"/>
        </w:rPr>
        <w:t>Мектеп мүлкін сақтауға бағытталған шараларды жүзеге асыру</w:t>
      </w:r>
      <w:r w:rsidR="006044FA" w:rsidRPr="006044FA">
        <w:rPr>
          <w:sz w:val="28"/>
          <w:szCs w:val="28"/>
        </w:rPr>
        <w:t>да түсіндірме жұмыстары жүргізіліп отырады. М</w:t>
      </w:r>
      <w:r w:rsidRPr="006044FA">
        <w:rPr>
          <w:sz w:val="28"/>
          <w:szCs w:val="28"/>
        </w:rPr>
        <w:t xml:space="preserve">ектепке </w:t>
      </w:r>
      <w:r w:rsidR="006044FA" w:rsidRPr="006044FA">
        <w:rPr>
          <w:sz w:val="28"/>
          <w:szCs w:val="28"/>
        </w:rPr>
        <w:t xml:space="preserve"> қажетті  </w:t>
      </w:r>
      <w:r w:rsidRPr="006044FA">
        <w:rPr>
          <w:sz w:val="28"/>
          <w:szCs w:val="28"/>
        </w:rPr>
        <w:t>қ</w:t>
      </w:r>
      <w:r w:rsidR="006044FA" w:rsidRPr="006044FA">
        <w:rPr>
          <w:sz w:val="28"/>
          <w:szCs w:val="28"/>
        </w:rPr>
        <w:t>ұрал -жабдықтарды алуды жоспарлап аудандық білім бөліміне сәйкесінше сұраныс жасалынып отырады</w:t>
      </w:r>
    </w:p>
    <w:p w:rsidR="00594743" w:rsidRDefault="00594743" w:rsidP="002908EB">
      <w:pPr>
        <w:jc w:val="both"/>
        <w:rPr>
          <w:sz w:val="28"/>
          <w:szCs w:val="28"/>
        </w:rPr>
      </w:pPr>
    </w:p>
    <w:tbl>
      <w:tblPr>
        <w:tblW w:w="8326" w:type="dxa"/>
        <w:tblInd w:w="817" w:type="dxa"/>
        <w:tblLook w:val="04A0" w:firstRow="1" w:lastRow="0" w:firstColumn="1" w:lastColumn="0" w:noHBand="0" w:noVBand="1"/>
      </w:tblPr>
      <w:tblGrid>
        <w:gridCol w:w="476"/>
        <w:gridCol w:w="3210"/>
        <w:gridCol w:w="1020"/>
        <w:gridCol w:w="1266"/>
        <w:gridCol w:w="1088"/>
        <w:gridCol w:w="1266"/>
      </w:tblGrid>
      <w:tr w:rsidR="00594743" w:rsidRPr="00FE71F9" w:rsidTr="00A75524">
        <w:trPr>
          <w:trHeight w:val="37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71F9">
              <w:rPr>
                <w:b/>
                <w:bCs/>
                <w:sz w:val="20"/>
                <w:szCs w:val="20"/>
                <w:lang w:eastAsia="ru-RU"/>
              </w:rPr>
              <w:t>қ/с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71F9">
              <w:rPr>
                <w:b/>
                <w:bCs/>
                <w:sz w:val="20"/>
                <w:szCs w:val="20"/>
                <w:lang w:eastAsia="ru-RU"/>
              </w:rPr>
              <w:t xml:space="preserve"> Заттардың  аты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71F9">
              <w:rPr>
                <w:b/>
                <w:bCs/>
                <w:sz w:val="20"/>
                <w:szCs w:val="20"/>
                <w:lang w:eastAsia="ru-RU"/>
              </w:rPr>
              <w:t>Өлшемі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71F9">
              <w:rPr>
                <w:b/>
                <w:bCs/>
                <w:sz w:val="20"/>
                <w:szCs w:val="20"/>
                <w:lang w:eastAsia="ru-RU"/>
              </w:rPr>
              <w:t>Бағасы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71F9">
              <w:rPr>
                <w:b/>
                <w:bCs/>
                <w:sz w:val="20"/>
                <w:szCs w:val="20"/>
                <w:lang w:eastAsia="ru-RU"/>
              </w:rPr>
              <w:t>Кіріс</w:t>
            </w:r>
          </w:p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4743" w:rsidRPr="00FE71F9" w:rsidTr="00A75524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71F9">
              <w:rPr>
                <w:b/>
                <w:bCs/>
                <w:sz w:val="20"/>
                <w:szCs w:val="20"/>
                <w:lang w:eastAsia="ru-RU"/>
              </w:rPr>
              <w:t>Саны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71F9">
              <w:rPr>
                <w:b/>
                <w:bCs/>
                <w:sz w:val="20"/>
                <w:szCs w:val="20"/>
                <w:lang w:eastAsia="ru-RU"/>
              </w:rPr>
              <w:t>Сомасы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71F9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D161C3">
              <w:rPr>
                <w:color w:val="000000"/>
                <w:sz w:val="20"/>
                <w:szCs w:val="20"/>
              </w:rPr>
              <w:t xml:space="preserve">Смарт монитор Skyworth IFPDB METZ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1926400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1926400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D161C3">
              <w:rPr>
                <w:color w:val="000000"/>
                <w:sz w:val="20"/>
                <w:szCs w:val="20"/>
              </w:rPr>
              <w:t>Набор среднего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1713600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1713600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D161C3">
              <w:rPr>
                <w:color w:val="000000"/>
                <w:sz w:val="20"/>
                <w:szCs w:val="20"/>
              </w:rPr>
              <w:t>Набор раннего и началного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1792000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1792000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D161C3">
              <w:rPr>
                <w:color w:val="000000"/>
                <w:sz w:val="20"/>
                <w:szCs w:val="20"/>
              </w:rPr>
              <w:t>Набор для 3D-моделей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149999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599996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D161C3">
              <w:rPr>
                <w:color w:val="000000"/>
                <w:sz w:val="20"/>
                <w:szCs w:val="20"/>
              </w:rPr>
              <w:t>3d-принтер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549999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549999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D161C3">
              <w:rPr>
                <w:color w:val="000000"/>
                <w:sz w:val="20"/>
                <w:szCs w:val="20"/>
              </w:rPr>
              <w:t>Устройства считывающее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124999,8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499999,2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D161C3">
              <w:rPr>
                <w:color w:val="000000"/>
                <w:sz w:val="20"/>
                <w:szCs w:val="20"/>
              </w:rPr>
              <w:t>Турникет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429999,8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1719999,2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D161C3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540000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D161C3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256970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513940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  <w:r w:rsidR="00E40600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D161C3">
              <w:rPr>
                <w:color w:val="000000"/>
                <w:sz w:val="20"/>
                <w:szCs w:val="20"/>
              </w:rPr>
              <w:t>Насос скважинный Grandfar QJD4/14-1,1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104000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D161C3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71F9">
              <w:rPr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  <w:r w:rsidR="00E40600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D161C3">
              <w:rPr>
                <w:color w:val="000000"/>
                <w:sz w:val="20"/>
                <w:szCs w:val="20"/>
              </w:rPr>
              <w:t>Комплект системы видеонаблюдения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756000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756000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  <w:r w:rsidR="00E40600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D161C3">
              <w:rPr>
                <w:color w:val="000000"/>
                <w:sz w:val="20"/>
                <w:szCs w:val="20"/>
              </w:rPr>
              <w:t>Кабинет учебный Физика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12900199,99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20"/>
              </w:rPr>
            </w:pPr>
            <w:r w:rsidRPr="00FE71F9">
              <w:rPr>
                <w:color w:val="000000"/>
                <w:sz w:val="20"/>
                <w:szCs w:val="20"/>
              </w:rPr>
              <w:t>12900199,99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  <w:r w:rsidR="00E40600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D161C3">
              <w:rPr>
                <w:color w:val="000000"/>
                <w:sz w:val="20"/>
                <w:szCs w:val="16"/>
              </w:rPr>
              <w:t>Парта/стол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FE71F9">
              <w:rPr>
                <w:color w:val="000000"/>
                <w:sz w:val="20"/>
                <w:szCs w:val="16"/>
              </w:rPr>
              <w:t>комплект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FE71F9">
              <w:rPr>
                <w:color w:val="000000"/>
                <w:sz w:val="20"/>
                <w:szCs w:val="16"/>
              </w:rPr>
              <w:t>61998,72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FE71F9">
              <w:rPr>
                <w:color w:val="000000"/>
                <w:sz w:val="20"/>
                <w:szCs w:val="16"/>
              </w:rPr>
              <w:t>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FE71F9">
              <w:rPr>
                <w:color w:val="000000"/>
                <w:sz w:val="20"/>
                <w:szCs w:val="16"/>
              </w:rPr>
              <w:t>3719923,2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594743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  <w:r w:rsidR="00E40600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D161C3">
              <w:rPr>
                <w:color w:val="000000"/>
                <w:sz w:val="20"/>
                <w:szCs w:val="16"/>
              </w:rPr>
              <w:t>Шахмат доска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FE71F9">
              <w:rPr>
                <w:color w:val="000000"/>
                <w:sz w:val="20"/>
                <w:szCs w:val="16"/>
              </w:rPr>
              <w:t>штука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FE71F9">
              <w:rPr>
                <w:color w:val="000000"/>
                <w:sz w:val="20"/>
                <w:szCs w:val="16"/>
              </w:rPr>
              <w:t>139990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FE71F9">
              <w:rPr>
                <w:color w:val="000000"/>
                <w:sz w:val="20"/>
                <w:szCs w:val="16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FE71F9">
              <w:rPr>
                <w:color w:val="000000"/>
                <w:sz w:val="20"/>
                <w:szCs w:val="16"/>
              </w:rPr>
              <w:t>279980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E40600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4743" w:rsidRPr="00D161C3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D161C3">
              <w:rPr>
                <w:color w:val="000000"/>
                <w:sz w:val="20"/>
                <w:szCs w:val="16"/>
              </w:rPr>
              <w:t>Стойка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FE71F9">
              <w:rPr>
                <w:color w:val="000000"/>
                <w:sz w:val="20"/>
                <w:szCs w:val="16"/>
              </w:rPr>
              <w:t>штука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FE71F9">
              <w:rPr>
                <w:color w:val="000000"/>
                <w:sz w:val="20"/>
                <w:szCs w:val="16"/>
              </w:rPr>
              <w:t>224000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FE71F9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FE71F9" w:rsidRDefault="00594743" w:rsidP="002908EB">
            <w:pPr>
              <w:jc w:val="both"/>
              <w:rPr>
                <w:color w:val="000000"/>
                <w:sz w:val="20"/>
                <w:szCs w:val="16"/>
              </w:rPr>
            </w:pPr>
            <w:r w:rsidRPr="00FE71F9">
              <w:rPr>
                <w:color w:val="000000"/>
                <w:sz w:val="20"/>
                <w:szCs w:val="16"/>
              </w:rPr>
              <w:t>224000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E40600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594743" w:rsidP="002908EB">
            <w:pPr>
              <w:jc w:val="both"/>
              <w:rPr>
                <w:szCs w:val="16"/>
              </w:rPr>
            </w:pPr>
            <w:r w:rsidRPr="00D161C3">
              <w:rPr>
                <w:szCs w:val="16"/>
              </w:rPr>
              <w:t>Огнетущитель порошковый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743" w:rsidRPr="004B54AC" w:rsidRDefault="00594743" w:rsidP="002908EB">
            <w:pPr>
              <w:jc w:val="both"/>
              <w:rPr>
                <w:color w:val="000000"/>
                <w:szCs w:val="16"/>
              </w:rPr>
            </w:pPr>
            <w:r w:rsidRPr="004B54AC">
              <w:rPr>
                <w:color w:val="000000"/>
                <w:szCs w:val="16"/>
              </w:rPr>
              <w:t>шт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4B54AC" w:rsidRDefault="00594743" w:rsidP="002908EB">
            <w:pPr>
              <w:jc w:val="both"/>
              <w:rPr>
                <w:color w:val="000000"/>
                <w:szCs w:val="16"/>
              </w:rPr>
            </w:pPr>
            <w:r w:rsidRPr="004B54AC">
              <w:rPr>
                <w:color w:val="000000"/>
                <w:szCs w:val="16"/>
              </w:rPr>
              <w:t>8090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4B54AC" w:rsidRDefault="00594743" w:rsidP="002908EB">
            <w:pPr>
              <w:jc w:val="both"/>
              <w:rPr>
                <w:szCs w:val="16"/>
              </w:rPr>
            </w:pPr>
            <w:r w:rsidRPr="004B54AC">
              <w:rPr>
                <w:szCs w:val="16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4B54AC" w:rsidRDefault="00594743" w:rsidP="002908EB">
            <w:pPr>
              <w:jc w:val="both"/>
              <w:rPr>
                <w:szCs w:val="16"/>
              </w:rPr>
            </w:pPr>
            <w:r w:rsidRPr="004B54AC">
              <w:rPr>
                <w:szCs w:val="16"/>
              </w:rPr>
              <w:t>80900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E40600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594743" w:rsidP="002908EB">
            <w:pPr>
              <w:jc w:val="both"/>
              <w:rPr>
                <w:szCs w:val="16"/>
              </w:rPr>
            </w:pPr>
            <w:r w:rsidRPr="00D161C3">
              <w:rPr>
                <w:szCs w:val="16"/>
              </w:rPr>
              <w:t>Прибор приемно-контрольный пожарный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743" w:rsidRPr="004B54AC" w:rsidRDefault="00594743" w:rsidP="002908EB">
            <w:pPr>
              <w:jc w:val="both"/>
              <w:rPr>
                <w:color w:val="000000"/>
                <w:szCs w:val="16"/>
              </w:rPr>
            </w:pPr>
            <w:r w:rsidRPr="004B54AC">
              <w:rPr>
                <w:color w:val="000000"/>
                <w:szCs w:val="16"/>
              </w:rPr>
              <w:t>м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4B54AC" w:rsidRDefault="00594743" w:rsidP="002908EB">
            <w:pPr>
              <w:jc w:val="both"/>
              <w:rPr>
                <w:color w:val="000000"/>
                <w:szCs w:val="16"/>
              </w:rPr>
            </w:pPr>
            <w:r w:rsidRPr="004B54AC">
              <w:rPr>
                <w:color w:val="000000"/>
                <w:szCs w:val="16"/>
              </w:rPr>
              <w:t>74495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4B54AC" w:rsidRDefault="00594743" w:rsidP="002908EB">
            <w:pPr>
              <w:jc w:val="both"/>
              <w:rPr>
                <w:szCs w:val="16"/>
              </w:rPr>
            </w:pPr>
            <w:r w:rsidRPr="004B54AC">
              <w:rPr>
                <w:szCs w:val="16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4B54AC" w:rsidRDefault="00594743" w:rsidP="002908EB">
            <w:pPr>
              <w:jc w:val="both"/>
              <w:rPr>
                <w:szCs w:val="16"/>
              </w:rPr>
            </w:pPr>
            <w:r w:rsidRPr="004B54AC">
              <w:rPr>
                <w:szCs w:val="16"/>
              </w:rPr>
              <w:t>74495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E40600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594743" w:rsidP="002908EB">
            <w:pPr>
              <w:jc w:val="both"/>
              <w:rPr>
                <w:szCs w:val="16"/>
              </w:rPr>
            </w:pPr>
            <w:r w:rsidRPr="00D161C3">
              <w:rPr>
                <w:szCs w:val="16"/>
              </w:rPr>
              <w:t>Доска магнитная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743" w:rsidRPr="004B54AC" w:rsidRDefault="00594743" w:rsidP="002908EB">
            <w:pPr>
              <w:jc w:val="both"/>
              <w:rPr>
                <w:color w:val="000000"/>
                <w:szCs w:val="16"/>
              </w:rPr>
            </w:pPr>
            <w:r w:rsidRPr="004B54AC">
              <w:rPr>
                <w:color w:val="000000"/>
                <w:szCs w:val="16"/>
              </w:rPr>
              <w:t>шт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4B54AC" w:rsidRDefault="00594743" w:rsidP="002908EB">
            <w:pPr>
              <w:jc w:val="both"/>
              <w:rPr>
                <w:color w:val="000000"/>
                <w:szCs w:val="16"/>
              </w:rPr>
            </w:pPr>
            <w:r w:rsidRPr="004B54AC">
              <w:rPr>
                <w:color w:val="000000"/>
                <w:szCs w:val="16"/>
              </w:rPr>
              <w:t>34900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4B54AC" w:rsidRDefault="00594743" w:rsidP="002908EB">
            <w:pPr>
              <w:jc w:val="both"/>
              <w:rPr>
                <w:szCs w:val="16"/>
              </w:rPr>
            </w:pPr>
            <w:r w:rsidRPr="004B54AC">
              <w:rPr>
                <w:szCs w:val="16"/>
              </w:rPr>
              <w:t>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4B54AC" w:rsidRDefault="00594743" w:rsidP="002908EB">
            <w:pPr>
              <w:jc w:val="both"/>
              <w:rPr>
                <w:szCs w:val="16"/>
              </w:rPr>
            </w:pPr>
            <w:r w:rsidRPr="004B54AC">
              <w:rPr>
                <w:szCs w:val="16"/>
              </w:rPr>
              <w:t>942300</w:t>
            </w:r>
          </w:p>
        </w:tc>
      </w:tr>
      <w:tr w:rsidR="00594743" w:rsidRPr="00FE71F9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E40600" w:rsidP="002908EB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4743" w:rsidRPr="00D161C3" w:rsidRDefault="00594743" w:rsidP="002908EB">
            <w:pPr>
              <w:jc w:val="both"/>
              <w:rPr>
                <w:color w:val="000000"/>
                <w:szCs w:val="16"/>
              </w:rPr>
            </w:pPr>
            <w:r w:rsidRPr="00D161C3">
              <w:rPr>
                <w:color w:val="000000"/>
                <w:szCs w:val="16"/>
              </w:rPr>
              <w:t>Флаг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743" w:rsidRPr="004B54AC" w:rsidRDefault="00594743" w:rsidP="002908EB">
            <w:pPr>
              <w:jc w:val="both"/>
              <w:rPr>
                <w:color w:val="000000"/>
                <w:szCs w:val="16"/>
              </w:rPr>
            </w:pPr>
            <w:r w:rsidRPr="004B54AC">
              <w:rPr>
                <w:color w:val="000000"/>
                <w:szCs w:val="16"/>
              </w:rPr>
              <w:t>шт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4B54AC" w:rsidRDefault="00594743" w:rsidP="002908EB">
            <w:pPr>
              <w:jc w:val="both"/>
              <w:rPr>
                <w:color w:val="000000"/>
                <w:szCs w:val="16"/>
              </w:rPr>
            </w:pPr>
            <w:r w:rsidRPr="004B54AC">
              <w:rPr>
                <w:color w:val="000000"/>
                <w:szCs w:val="16"/>
              </w:rPr>
              <w:t>5099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4B54AC" w:rsidRDefault="00594743" w:rsidP="002908EB">
            <w:pPr>
              <w:jc w:val="both"/>
              <w:rPr>
                <w:color w:val="000000"/>
                <w:szCs w:val="16"/>
              </w:rPr>
            </w:pPr>
            <w:r w:rsidRPr="004B54AC">
              <w:rPr>
                <w:color w:val="000000"/>
                <w:szCs w:val="16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4B54AC" w:rsidRDefault="00594743" w:rsidP="002908EB">
            <w:pPr>
              <w:jc w:val="both"/>
              <w:rPr>
                <w:szCs w:val="16"/>
              </w:rPr>
            </w:pPr>
            <w:r w:rsidRPr="004B54AC">
              <w:rPr>
                <w:szCs w:val="16"/>
              </w:rPr>
              <w:t>25495</w:t>
            </w:r>
          </w:p>
        </w:tc>
      </w:tr>
      <w:tr w:rsidR="00594743" w:rsidRPr="00D161C3" w:rsidTr="00A75524">
        <w:trPr>
          <w:trHeight w:val="2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594743" w:rsidP="002908EB">
            <w:pPr>
              <w:jc w:val="both"/>
              <w:rPr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4743" w:rsidRPr="00D161C3" w:rsidRDefault="00594743" w:rsidP="002908EB">
            <w:pPr>
              <w:jc w:val="both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743" w:rsidRPr="00D161C3" w:rsidRDefault="00594743" w:rsidP="002908EB">
            <w:pPr>
              <w:jc w:val="both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743" w:rsidRPr="00D161C3" w:rsidRDefault="00594743" w:rsidP="002908EB">
            <w:pPr>
              <w:jc w:val="both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743" w:rsidRPr="00D161C3" w:rsidRDefault="00594743" w:rsidP="002908EB">
            <w:pPr>
              <w:jc w:val="both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743" w:rsidRPr="00D161C3" w:rsidRDefault="00594743" w:rsidP="002908EB">
            <w:pPr>
              <w:jc w:val="both"/>
              <w:rPr>
                <w:b/>
                <w:color w:val="000000"/>
                <w:sz w:val="20"/>
                <w:szCs w:val="16"/>
              </w:rPr>
            </w:pPr>
          </w:p>
        </w:tc>
      </w:tr>
    </w:tbl>
    <w:p w:rsidR="00594743" w:rsidRDefault="00594743" w:rsidP="002908EB">
      <w:pPr>
        <w:jc w:val="both"/>
        <w:rPr>
          <w:sz w:val="28"/>
          <w:szCs w:val="28"/>
        </w:rPr>
      </w:pPr>
    </w:p>
    <w:p w:rsidR="006044FA" w:rsidRPr="006044FA" w:rsidRDefault="006044FA" w:rsidP="002908EB">
      <w:pPr>
        <w:jc w:val="both"/>
        <w:rPr>
          <w:sz w:val="28"/>
          <w:szCs w:val="28"/>
        </w:rPr>
      </w:pPr>
      <w:r>
        <w:rPr>
          <w:sz w:val="28"/>
          <w:szCs w:val="28"/>
        </w:rPr>
        <w:t>2023-2024  оқу жылында физика кабинеті толықтай жаңартылды. Алдағы оқу жылында Химия,Биология,Робототехника,еңбек (ұлдар,қыздар) кабинеттері заман үлгісіне сай жаңартылу жоспарланып отыр.</w:t>
      </w:r>
    </w:p>
    <w:p w:rsidR="00C3721E" w:rsidRPr="006044FA" w:rsidRDefault="00C3721E" w:rsidP="002908EB">
      <w:pPr>
        <w:jc w:val="both"/>
        <w:rPr>
          <w:sz w:val="28"/>
          <w:szCs w:val="28"/>
        </w:rPr>
      </w:pPr>
      <w:r w:rsidRPr="006044FA">
        <w:rPr>
          <w:sz w:val="28"/>
          <w:szCs w:val="28"/>
        </w:rPr>
        <w:t>Мектептің жылыту</w:t>
      </w:r>
      <w:r w:rsidR="0049248B">
        <w:rPr>
          <w:sz w:val="28"/>
          <w:szCs w:val="28"/>
        </w:rPr>
        <w:t xml:space="preserve"> және жарық режимдерін қадағалау жұмыстары жоспар</w:t>
      </w:r>
      <w:r w:rsidR="00F812E4">
        <w:rPr>
          <w:sz w:val="28"/>
          <w:szCs w:val="28"/>
        </w:rPr>
        <w:t>ға сай үнемі жүргізіліп отырады</w:t>
      </w:r>
      <w:r w:rsidR="006044FA" w:rsidRPr="006044FA">
        <w:rPr>
          <w:sz w:val="28"/>
          <w:szCs w:val="28"/>
        </w:rPr>
        <w:t>,</w:t>
      </w:r>
      <w:r w:rsidR="00F812E4">
        <w:rPr>
          <w:sz w:val="28"/>
          <w:szCs w:val="28"/>
        </w:rPr>
        <w:t xml:space="preserve"> </w:t>
      </w:r>
      <w:r w:rsidR="0049248B">
        <w:rPr>
          <w:sz w:val="28"/>
          <w:szCs w:val="28"/>
        </w:rPr>
        <w:t>Қысқы жылыту мерзімінде</w:t>
      </w:r>
      <w:r w:rsidRPr="006044FA">
        <w:rPr>
          <w:sz w:val="28"/>
          <w:szCs w:val="28"/>
        </w:rPr>
        <w:t xml:space="preserve"> қаже</w:t>
      </w:r>
      <w:r w:rsidR="006044FA" w:rsidRPr="006044FA">
        <w:rPr>
          <w:sz w:val="28"/>
          <w:szCs w:val="28"/>
        </w:rPr>
        <w:t>тті</w:t>
      </w:r>
      <w:r w:rsidR="00FE39A3">
        <w:rPr>
          <w:sz w:val="28"/>
          <w:szCs w:val="28"/>
        </w:rPr>
        <w:t xml:space="preserve"> 933 тонна</w:t>
      </w:r>
      <w:r w:rsidR="006044FA" w:rsidRPr="006044FA">
        <w:rPr>
          <w:sz w:val="28"/>
          <w:szCs w:val="28"/>
        </w:rPr>
        <w:t xml:space="preserve"> </w:t>
      </w:r>
      <w:r w:rsidR="00F812E4">
        <w:rPr>
          <w:sz w:val="28"/>
          <w:szCs w:val="28"/>
        </w:rPr>
        <w:t xml:space="preserve">қатты </w:t>
      </w:r>
      <w:r w:rsidR="0049248B">
        <w:rPr>
          <w:sz w:val="28"/>
          <w:szCs w:val="28"/>
        </w:rPr>
        <w:t>отын,</w:t>
      </w:r>
      <w:r w:rsidR="002908EB">
        <w:rPr>
          <w:sz w:val="28"/>
          <w:szCs w:val="28"/>
        </w:rPr>
        <w:t xml:space="preserve"> </w:t>
      </w:r>
      <w:r w:rsidR="00F812E4">
        <w:rPr>
          <w:sz w:val="28"/>
          <w:szCs w:val="28"/>
        </w:rPr>
        <w:t>(</w:t>
      </w:r>
      <w:r w:rsidR="0049248B">
        <w:rPr>
          <w:sz w:val="28"/>
          <w:szCs w:val="28"/>
        </w:rPr>
        <w:t>көмірмен</w:t>
      </w:r>
      <w:r w:rsidR="00F812E4">
        <w:rPr>
          <w:sz w:val="28"/>
          <w:szCs w:val="28"/>
        </w:rPr>
        <w:t>)</w:t>
      </w:r>
      <w:r w:rsidR="00FE39A3">
        <w:rPr>
          <w:sz w:val="28"/>
          <w:szCs w:val="28"/>
        </w:rPr>
        <w:t xml:space="preserve"> қаралды. </w:t>
      </w:r>
      <w:r w:rsidR="0076049B">
        <w:rPr>
          <w:sz w:val="28"/>
          <w:szCs w:val="28"/>
        </w:rPr>
        <w:t>Сұранысқа сәйкес</w:t>
      </w:r>
      <w:r w:rsidR="0049248B">
        <w:rPr>
          <w:sz w:val="28"/>
          <w:szCs w:val="28"/>
        </w:rPr>
        <w:t xml:space="preserve"> </w:t>
      </w:r>
      <w:r w:rsidR="00323C6C">
        <w:rPr>
          <w:sz w:val="28"/>
          <w:szCs w:val="28"/>
        </w:rPr>
        <w:t xml:space="preserve"> КТ 320 «Алатау» </w:t>
      </w:r>
      <w:r w:rsidR="0049248B">
        <w:rPr>
          <w:sz w:val="28"/>
          <w:szCs w:val="28"/>
        </w:rPr>
        <w:t>жылу қазандығы ауыстырылды.</w:t>
      </w:r>
      <w:r w:rsidR="00323C6C">
        <w:rPr>
          <w:sz w:val="28"/>
          <w:szCs w:val="28"/>
        </w:rPr>
        <w:t xml:space="preserve"> Алдағы оқу жылына КТГ</w:t>
      </w:r>
      <w:r w:rsidR="00F812E4">
        <w:rPr>
          <w:sz w:val="28"/>
          <w:szCs w:val="28"/>
        </w:rPr>
        <w:t xml:space="preserve"> </w:t>
      </w:r>
      <w:r w:rsidR="00323C6C">
        <w:rPr>
          <w:sz w:val="28"/>
          <w:szCs w:val="28"/>
        </w:rPr>
        <w:t>1000 «Алатау» 2 дана жылу қазандығы ауысуы жоспарлануда</w:t>
      </w:r>
    </w:p>
    <w:p w:rsidR="00C3721E" w:rsidRPr="006044FA" w:rsidRDefault="00C3721E" w:rsidP="002908EB">
      <w:pPr>
        <w:jc w:val="both"/>
        <w:rPr>
          <w:sz w:val="28"/>
          <w:szCs w:val="28"/>
        </w:rPr>
      </w:pPr>
      <w:r w:rsidRPr="006044FA">
        <w:rPr>
          <w:sz w:val="28"/>
          <w:szCs w:val="28"/>
        </w:rPr>
        <w:t>Ө</w:t>
      </w:r>
      <w:bookmarkStart w:id="0" w:name="_GoBack"/>
      <w:bookmarkEnd w:id="0"/>
      <w:r w:rsidRPr="006044FA">
        <w:rPr>
          <w:sz w:val="28"/>
          <w:szCs w:val="28"/>
        </w:rPr>
        <w:t>рт қауіпсіздігі шараларын,техникалық қауіпсіздік</w:t>
      </w:r>
      <w:r w:rsidR="00B14E1B">
        <w:rPr>
          <w:sz w:val="28"/>
          <w:szCs w:val="28"/>
        </w:rPr>
        <w:t xml:space="preserve"> талаптарының орындалуын бақыланып отырады.</w:t>
      </w:r>
    </w:p>
    <w:p w:rsidR="00C3721E" w:rsidRPr="006044FA" w:rsidRDefault="00C3721E" w:rsidP="002908EB">
      <w:pPr>
        <w:jc w:val="both"/>
        <w:rPr>
          <w:sz w:val="28"/>
          <w:szCs w:val="28"/>
        </w:rPr>
      </w:pPr>
      <w:r w:rsidRPr="006044FA">
        <w:rPr>
          <w:sz w:val="28"/>
          <w:szCs w:val="28"/>
        </w:rPr>
        <w:lastRenderedPageBreak/>
        <w:t>Техникалық қызметкерлердің жұмысқа қатысуына табель жүргізу,еңбек тәртібін қадағалау</w:t>
      </w:r>
      <w:r w:rsidR="000D6E7E">
        <w:rPr>
          <w:sz w:val="28"/>
          <w:szCs w:val="28"/>
        </w:rPr>
        <w:t xml:space="preserve"> шарттарына сәйкес қабылданады.</w:t>
      </w:r>
    </w:p>
    <w:p w:rsidR="00C3721E" w:rsidRPr="006044FA" w:rsidRDefault="00C3721E" w:rsidP="002908EB">
      <w:pPr>
        <w:jc w:val="both"/>
        <w:rPr>
          <w:sz w:val="28"/>
          <w:szCs w:val="28"/>
        </w:rPr>
      </w:pPr>
      <w:r w:rsidRPr="006044FA">
        <w:rPr>
          <w:sz w:val="28"/>
          <w:szCs w:val="28"/>
        </w:rPr>
        <w:t>Асхана жұмысын қадағалау</w:t>
      </w:r>
      <w:r w:rsidR="000D6E7E">
        <w:rPr>
          <w:sz w:val="28"/>
          <w:szCs w:val="28"/>
        </w:rPr>
        <w:t>ды үнемі назарда ұстаймыз.</w:t>
      </w:r>
    </w:p>
    <w:p w:rsidR="00C3721E" w:rsidRPr="006044FA" w:rsidRDefault="00C3721E" w:rsidP="002908EB">
      <w:pPr>
        <w:jc w:val="both"/>
        <w:rPr>
          <w:sz w:val="28"/>
          <w:szCs w:val="28"/>
        </w:rPr>
      </w:pPr>
      <w:r w:rsidRPr="006044FA">
        <w:rPr>
          <w:sz w:val="28"/>
          <w:szCs w:val="28"/>
        </w:rPr>
        <w:t>Мектеп шаруашылық және қаржы саласының кіріс шығыс есебін  жүргізу</w:t>
      </w:r>
      <w:r w:rsidR="007D5669">
        <w:rPr>
          <w:sz w:val="28"/>
          <w:szCs w:val="28"/>
        </w:rPr>
        <w:t xml:space="preserve"> жұмыстары </w:t>
      </w:r>
      <w:r w:rsidRPr="006044FA">
        <w:rPr>
          <w:sz w:val="28"/>
          <w:szCs w:val="28"/>
        </w:rPr>
        <w:t xml:space="preserve"> аудандық  білім </w:t>
      </w:r>
      <w:r w:rsidR="007D5669">
        <w:rPr>
          <w:sz w:val="28"/>
          <w:szCs w:val="28"/>
        </w:rPr>
        <w:t>бөлімінің  есеп бөліміне ай-сайын  тапсырылып отырады.</w:t>
      </w:r>
      <w:r w:rsidRPr="006044FA">
        <w:rPr>
          <w:sz w:val="28"/>
          <w:szCs w:val="28"/>
        </w:rPr>
        <w:t xml:space="preserve">Мектеп ауласына көгалдандыру көркейту </w:t>
      </w:r>
      <w:r w:rsidR="007D5669">
        <w:rPr>
          <w:sz w:val="28"/>
          <w:szCs w:val="28"/>
        </w:rPr>
        <w:t>жұмыстары үнемі жүрізіліп отырады.</w:t>
      </w:r>
    </w:p>
    <w:p w:rsidR="007D5669" w:rsidRDefault="007D5669" w:rsidP="002908EB">
      <w:pPr>
        <w:jc w:val="both"/>
        <w:rPr>
          <w:sz w:val="28"/>
          <w:szCs w:val="28"/>
        </w:rPr>
      </w:pPr>
      <w:r>
        <w:rPr>
          <w:sz w:val="28"/>
          <w:szCs w:val="28"/>
        </w:rPr>
        <w:t>Алдағы оқу жылының дайындық жұмыстары мектеп ішін ақтау, сырлау жұмыстары өз деңгейінде жүргізіледі.</w:t>
      </w:r>
    </w:p>
    <w:p w:rsidR="00C3721E" w:rsidRPr="006044FA" w:rsidRDefault="00566A65" w:rsidP="002908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5669">
        <w:rPr>
          <w:sz w:val="28"/>
          <w:szCs w:val="28"/>
        </w:rPr>
        <w:t xml:space="preserve"> Атқарылған жұмыстар жайлы мәліметтер аудандық білім бөліміне жолданып отырады.</w:t>
      </w:r>
    </w:p>
    <w:sectPr w:rsidR="00C3721E" w:rsidRPr="006044FA" w:rsidSect="0028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06"/>
    <w:rsid w:val="000D6E7E"/>
    <w:rsid w:val="002355B7"/>
    <w:rsid w:val="00285B7D"/>
    <w:rsid w:val="002908EB"/>
    <w:rsid w:val="002B648E"/>
    <w:rsid w:val="00323C6C"/>
    <w:rsid w:val="0049248B"/>
    <w:rsid w:val="004D56CD"/>
    <w:rsid w:val="00566A65"/>
    <w:rsid w:val="00594743"/>
    <w:rsid w:val="005A1601"/>
    <w:rsid w:val="006044FA"/>
    <w:rsid w:val="0076049B"/>
    <w:rsid w:val="007B14CB"/>
    <w:rsid w:val="007D5669"/>
    <w:rsid w:val="00B14E1B"/>
    <w:rsid w:val="00B65EC0"/>
    <w:rsid w:val="00BC57DC"/>
    <w:rsid w:val="00C3721E"/>
    <w:rsid w:val="00E22206"/>
    <w:rsid w:val="00E40600"/>
    <w:rsid w:val="00F812E4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57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7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57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7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1FEF4-71A6-44A1-B844-F29EB544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Кадиркулов</cp:lastModifiedBy>
  <cp:revision>4</cp:revision>
  <dcterms:created xsi:type="dcterms:W3CDTF">2024-06-16T08:19:00Z</dcterms:created>
  <dcterms:modified xsi:type="dcterms:W3CDTF">2024-06-16T08:20:00Z</dcterms:modified>
</cp:coreProperties>
</file>